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480" w:lineRule="exact"/>
        <w:ind w:left="0" w:leftChars="0" w:right="0"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shd w:val="clear" w:color="auto" w:fill="FFFFFF"/>
        </w:rPr>
        <w:t>比选申请书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三明城发城市服务集团有限公司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（比选人）：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三明城发城市服务集团有限公司2024-2025年度聘请常年法律顾问服务机构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各项条款及要求后，我公司对你公司的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三明城发城市服务集团有限公司2024-2025年度聘请常年法律顾问服务机构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比选提出申请。我公司将接受并遵守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所规定的各项条款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，并提供以下比选申请文件：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）比选申请人基本情况表；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授权委托书（如有）；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拟派出本项目团队情况；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其他证明文件（如有）。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2.我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承诺如下：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（1）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三年内未受司法行政主管部门处罚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（2）我公司及其拟派出的人员未被依法禁止投标、未存在财产被冻结或接管的情况或处于从业限制期限内。我公司拟派出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本项目团队律师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近3年内无执业违法违规记录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（3）我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规定及要求与比选人签订合同；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（4）我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联系人：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48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48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（盖单位公章）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48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负责人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i/>
          <w:color w:val="auto"/>
          <w:sz w:val="28"/>
          <w:szCs w:val="28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t>）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48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日期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480" w:lineRule="exact"/>
        <w:ind w:left="0" w:leftChars="0" w:right="0" w:firstLine="562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br w:type="page"/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1-1.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申请人基本情况表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480" w:lineRule="exact"/>
        <w:ind w:left="0" w:leftChars="0" w:right="0" w:firstLine="723" w:firstLineChars="200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申请人基本情况表</w:t>
      </w:r>
    </w:p>
    <w:tbl>
      <w:tblPr>
        <w:tblStyle w:val="12"/>
        <w:tblW w:w="0" w:type="auto"/>
        <w:jc w:val="center"/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7"/>
        <w:gridCol w:w="1421"/>
        <w:gridCol w:w="1586"/>
        <w:gridCol w:w="1418"/>
        <w:gridCol w:w="2159"/>
      </w:tblGrid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单位名称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注册地址</w:t>
            </w:r>
          </w:p>
        </w:tc>
        <w:tc>
          <w:tcPr>
            <w:tcW w:w="3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邮政编码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4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联系方式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联系人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电话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tabs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传真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电子邮件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CN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CN"/>
              </w:rPr>
              <w:t>律师事务所负责人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姓名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电话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统一社会信用代码</w:t>
            </w:r>
          </w:p>
        </w:tc>
        <w:tc>
          <w:tcPr>
            <w:tcW w:w="3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  <w:tc>
          <w:tcPr>
            <w:tcW w:w="3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left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员工总人数：</w:t>
            </w: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  <w:t>人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left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  <w:t>其中专业律师数量：</w:t>
            </w: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  <w:t>人</w:t>
            </w: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注册资金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Hans" w:eastAsia="zh-Hans"/>
              </w:rPr>
              <w:t>成立日期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基本账户开户银行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基本账户账号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经营范围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备注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48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申请人：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14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i/>
          <w:color w:val="auto"/>
          <w:spacing w:val="14"/>
          <w:sz w:val="28"/>
          <w:szCs w:val="28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pacing w:val="14"/>
          <w:sz w:val="28"/>
          <w:szCs w:val="28"/>
          <w:highlight w:val="none"/>
        </w:rPr>
        <w:t>）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48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spacing w:val="1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负责人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i/>
          <w:color w:val="auto"/>
          <w:sz w:val="28"/>
          <w:szCs w:val="28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t>）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48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doubl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double"/>
        </w:rPr>
        <w:t>须附上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double"/>
          <w:lang w:eastAsia="zh-CN"/>
        </w:rPr>
        <w:t>律师事务所的执业许可证书复印件、律师事务所负责人复印件，并加盖单位公章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480" w:lineRule="exact"/>
        <w:ind w:left="0" w:leftChars="0" w:right="0" w:firstLine="562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480" w:lineRule="exact"/>
        <w:ind w:left="0" w:leftChars="0" w:right="0" w:firstLine="562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1-2.授权委托书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（如有）</w:t>
      </w:r>
    </w:p>
    <w:p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480" w:lineRule="exact"/>
        <w:ind w:left="0" w:leftChars="0" w:right="0"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shd w:val="clear" w:color="auto" w:fill="FFFFFF"/>
        </w:rPr>
        <w:t>授权委托书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 xml:space="preserve"> （姓名）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 xml:space="preserve"> （比选申请人名称）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负责人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，现授权委托我公司职工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（姓名）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（身份证号码）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为我公司全权代理人，以本公司名义参加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三明城发城市服务集团有限公司2024-2025年度聘请常年法律顾问服务机构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负责人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ageBreakBefore w:val="0"/>
        <w:kinsoku/>
        <w:wordWrap/>
        <w:overflowPunct/>
        <w:topLinePunct w:val="0"/>
        <w:bidi w:val="0"/>
        <w:spacing w:line="480" w:lineRule="exact"/>
        <w:ind w:left="0" w:leftChars="0" w:right="0"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br w:type="page"/>
      </w:r>
    </w:p>
    <w:p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480" w:lineRule="exact"/>
        <w:ind w:left="0" w:leftChars="0" w:right="0" w:firstLine="562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1-3.拟派出本项目团队情况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拟派出本项目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团队情况</w:t>
      </w:r>
    </w:p>
    <w:tbl>
      <w:tblPr>
        <w:tblStyle w:val="12"/>
        <w:tblW w:w="14177" w:type="dxa"/>
        <w:tblCellSpacing w:w="0" w:type="dxa"/>
        <w:tblInd w:w="-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6"/>
        <w:gridCol w:w="2384"/>
        <w:gridCol w:w="2299"/>
        <w:gridCol w:w="2903"/>
        <w:gridCol w:w="3122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  <w:tblCellSpacing w:w="0" w:type="dxa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拟派本项目职务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律师执业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资格证号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律师职业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起始时间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执业年限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tblCellSpacing w:w="0" w:type="dxa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  <w:t>团队负责人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tblCellSpacing w:w="0" w:type="dxa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23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  <w:t>团队其他律师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tblCellSpacing w:w="0" w:type="dxa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2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tblCellSpacing w:w="0" w:type="dxa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……</w:t>
            </w:r>
          </w:p>
        </w:tc>
        <w:tc>
          <w:tcPr>
            <w:tcW w:w="2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firstLine="482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  <w:lang w:eastAsia="zh-CN"/>
        </w:rPr>
        <w:t>拟派出本项目团队律师数量应不少于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  <w:lang w:val="en-US" w:eastAsia="zh-CN"/>
        </w:rPr>
        <w:t>3名；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  <w:lang w:eastAsia="zh-CN"/>
        </w:rPr>
        <w:t>团队负责人具备本科及以上学历，律师执业5年及以上且在近3年内无执业违法违规记录；其他团队律师具备本科及以上学历，律师执业2年及以上且在近3年内无执业违法违规记录。</w:t>
      </w:r>
    </w:p>
    <w:p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（2）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</w:rPr>
        <w:t>比选申请人须提供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  <w:lang w:eastAsia="zh-CN"/>
        </w:rPr>
        <w:t>拟派出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</w:rPr>
        <w:t>律师执业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  <w:lang w:eastAsia="zh-CN"/>
        </w:rPr>
        <w:t>资格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</w:rPr>
        <w:t>证书复印件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</w:rPr>
        <w:t>学历证书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  <w:lang w:eastAsia="zh-CN"/>
        </w:rPr>
        <w:t>复印件、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  <w:lang w:val="en-US" w:eastAsia="zh-CN"/>
        </w:rPr>
        <w:t>福建省律师专业评定证书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</w:rPr>
        <w:t>及其他任职证明文件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  <w:lang w:eastAsia="zh-CN"/>
        </w:rPr>
        <w:t>（若需）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</w:rPr>
        <w:t>复印件，必须加盖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  <w:lang w:eastAsia="zh-CN"/>
        </w:rPr>
        <w:t>比选申请人单位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double"/>
          <w:lang w:val="zh-Hans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480" w:lineRule="exact"/>
        <w:ind w:left="0" w:leftChars="0" w:right="0" w:firstLine="562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sectPr>
          <w:headerReference r:id="rId5" w:type="default"/>
          <w:footerReference r:id="rId6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480" w:lineRule="exact"/>
        <w:ind w:left="0" w:leftChars="0" w:right="0" w:firstLine="562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1-4.其他证明文件（如有）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firstLine="562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firstLine="562" w:firstLineChars="200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注：评价办法中要求提供的或比选申请人认为需要提供的证明材料，在此处提供。比选申请人提供的证明材料应真实有效，所有复印件均应加盖比选申请人单位公章。</w:t>
      </w:r>
    </w:p>
    <w:p>
      <w:pPr>
        <w:pageBreakBefore w:val="0"/>
        <w:kinsoku/>
        <w:wordWrap/>
        <w:overflowPunct/>
        <w:topLinePunct w:val="0"/>
        <w:bidi w:val="0"/>
        <w:spacing w:line="480" w:lineRule="exact"/>
        <w:ind w:left="0" w:leftChars="0" w:right="0" w:firstLine="420" w:firstLineChars="200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480" w:lineRule="exact"/>
        <w:ind w:right="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48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480" w:lineRule="exact"/>
        <w:ind w:left="0" w:leftChars="0" w:right="0"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法律顾问服务费报价函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80" w:lineRule="exact"/>
        <w:ind w:right="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三明城发城市服务集团有限公司：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48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根据贵司的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比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选公告，经研究，我所愿以人民币（大写）：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每年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（小写：￥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eastAsia="zh-CN"/>
        </w:rPr>
        <w:t>元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>/年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的服务费报价，参与贵司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2024-2025年度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常年法律顾问服务机构的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比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选活动。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负责人或其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480" w:lineRule="exact"/>
        <w:ind w:left="0" w:leftChars="0" w:right="0" w:firstLine="56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48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80" w:lineRule="exact"/>
        <w:ind w:left="0" w:leftChars="0" w:right="0" w:firstLine="482" w:firstLineChars="20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80" w:lineRule="exact"/>
        <w:ind w:left="0" w:leftChars="0" w:right="0" w:firstLine="482" w:firstLineChars="20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80" w:lineRule="exact"/>
        <w:ind w:left="0" w:leftChars="0" w:right="0" w:firstLine="482" w:firstLineChars="20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48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br w:type="page"/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2：评价办法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480" w:lineRule="exact"/>
        <w:ind w:left="0" w:leftChars="0" w:right="0"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综合评价中选法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本比选项目采用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综合评价中选法。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若资格条件、报价符合要求的比选申请人仅有1家时，直接确定其为候选单位。若资格条件、报价符合要求的比选申请人数量超过1家时，将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符合要求的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按照本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评价办法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中规定的各项因素进行综合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评估，并根据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申请人的综合得分由高到低排序，综合得分最高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的为第一中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候选人，以此类推选择第二、第三中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候选人。当出现二个或二个以上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综合得分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依次按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报价由低到高、拟派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拟派出本项目团队情况得分由高到低、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律师事务所基本情况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得分由高到低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进行排序，若上述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项均相同时，由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以比选申请人提交比选申请书的签到号作为代表号（代表号不再另行抽取）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随机抽取，先抽取出来的球号排序在前。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各项因素分值如下：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A：价格部分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分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B：技术部分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75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0" w:leftChars="0" w:righ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1"/>
          <w:sz w:val="28"/>
          <w:szCs w:val="28"/>
          <w:highlight w:val="none"/>
        </w:rPr>
      </w:pPr>
    </w:p>
    <w:p>
      <w:pPr>
        <w:pStyle w:val="11"/>
        <w:pageBreakBefore w:val="0"/>
        <w:kinsoku/>
        <w:wordWrap/>
        <w:overflowPunct/>
        <w:topLinePunct w:val="0"/>
        <w:bidi w:val="0"/>
        <w:spacing w:before="0" w:after="0" w:line="480" w:lineRule="exact"/>
        <w:ind w:left="0" w:leftChars="0" w:right="0" w:firstLine="562" w:firstLineChars="200"/>
        <w:jc w:val="both"/>
        <w:outlineLvl w:val="9"/>
        <w:rPr>
          <w:rFonts w:hint="eastAsia" w:ascii="宋体" w:hAnsi="宋体" w:eastAsia="宋体" w:cs="宋体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 w:val="0"/>
          <w:color w:val="auto"/>
          <w:sz w:val="28"/>
          <w:szCs w:val="28"/>
          <w:highlight w:val="none"/>
        </w:rPr>
        <w:t>第一部分  价格部分</w:t>
      </w:r>
      <w:r>
        <w:rPr>
          <w:rFonts w:hint="eastAsia" w:ascii="宋体" w:hAnsi="宋体" w:eastAsia="宋体" w:cs="宋体"/>
          <w:bCs w:val="0"/>
          <w:color w:val="auto"/>
          <w:sz w:val="28"/>
          <w:szCs w:val="28"/>
          <w:highlight w:val="none"/>
          <w:lang w:eastAsia="zh-CN"/>
        </w:rPr>
        <w:t>评估标准</w:t>
      </w:r>
      <w:r>
        <w:rPr>
          <w:rFonts w:hint="eastAsia" w:ascii="宋体" w:hAnsi="宋体" w:eastAsia="宋体" w:cs="宋体"/>
          <w:bCs w:val="0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eastAsia="宋体" w:cs="宋体"/>
          <w:bCs w:val="0"/>
          <w:color w:val="auto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12"/>
        <w:tblpPr w:leftFromText="180" w:rightFromText="180" w:vertAnchor="text" w:horzAnchor="page" w:tblpX="1142" w:tblpY="431"/>
        <w:tblOverlap w:val="never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381"/>
        <w:gridCol w:w="1374"/>
        <w:gridCol w:w="6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Header/>
        </w:trPr>
        <w:tc>
          <w:tcPr>
            <w:tcW w:w="81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0" w:name="_Toc9384"/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序号</w:t>
            </w:r>
            <w:bookmarkEnd w:id="0"/>
          </w:p>
        </w:tc>
        <w:tc>
          <w:tcPr>
            <w:tcW w:w="138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1" w:name="_Toc1402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项目</w:t>
            </w:r>
            <w:bookmarkEnd w:id="1"/>
          </w:p>
        </w:tc>
        <w:tc>
          <w:tcPr>
            <w:tcW w:w="1374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2" w:name="_Toc29875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分值</w:t>
            </w:r>
            <w:bookmarkEnd w:id="2"/>
          </w:p>
        </w:tc>
        <w:tc>
          <w:tcPr>
            <w:tcW w:w="628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3" w:name="_Toc2636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标准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4" w:name="_Toc1259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1</w:t>
            </w:r>
            <w:bookmarkEnd w:id="4"/>
          </w:p>
        </w:tc>
        <w:tc>
          <w:tcPr>
            <w:tcW w:w="138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5" w:name="_Toc1630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报价得分</w:t>
            </w:r>
            <w:bookmarkEnd w:id="5"/>
          </w:p>
        </w:tc>
        <w:tc>
          <w:tcPr>
            <w:tcW w:w="1374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分</w:t>
            </w:r>
          </w:p>
        </w:tc>
        <w:tc>
          <w:tcPr>
            <w:tcW w:w="6285" w:type="dxa"/>
            <w:noWrap w:val="0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）评估基准价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=所有有效报价人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在最高限价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%（含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%，含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%）范围内报价的算术平均值；报价在最高限价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%（含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%，含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%）范围外的，不参与评标基准价计算。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若所有报价均在最高限价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%（含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%，含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%）范围外，则评估基准价按最高限价的9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%计算。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评估基准价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 xml:space="preserve">取整数（以“元”为单位，小数点后第一位四舍五入,第二位及以后不计）。 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）报价得分计算式：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报价得分=报价分值满分-（|Ai-评估基准价|÷评估基准价）×100×Q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其中，Ai 为各比选申请人的报价；Q为报价每偏离本评估基准价1%的取值：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当合格比选申请人的报价≤评估基准价时，Q的取值为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0.2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当合格比选申请人的报价&gt;评估基准价时，Q的取值为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0.4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。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比选报价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得分小数点后保留两位，第三位“四舍五入”，第四位及以后不计。</w:t>
            </w: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480" w:lineRule="exact"/>
        <w:ind w:left="0" w:leftChars="0" w:right="0" w:firstLine="420" w:firstLineChars="200"/>
        <w:rPr>
          <w:rFonts w:hint="eastAsia" w:ascii="宋体" w:hAnsi="宋体" w:eastAsia="宋体" w:cs="宋体"/>
        </w:rPr>
      </w:pPr>
    </w:p>
    <w:p>
      <w:pPr>
        <w:pStyle w:val="11"/>
        <w:pageBreakBefore w:val="0"/>
        <w:kinsoku/>
        <w:wordWrap/>
        <w:overflowPunct/>
        <w:topLinePunct w:val="0"/>
        <w:bidi w:val="0"/>
        <w:spacing w:before="0" w:after="0" w:line="480" w:lineRule="exact"/>
        <w:ind w:left="0" w:leftChars="0" w:right="0" w:firstLine="562" w:firstLineChars="200"/>
        <w:jc w:val="both"/>
        <w:outlineLvl w:val="9"/>
        <w:rPr>
          <w:rFonts w:hint="eastAsia" w:ascii="宋体" w:hAnsi="宋体" w:eastAsia="宋体" w:cs="宋体"/>
          <w:bCs w:val="0"/>
          <w:color w:val="auto"/>
          <w:sz w:val="28"/>
          <w:szCs w:val="28"/>
          <w:highlight w:val="none"/>
        </w:rPr>
      </w:pPr>
      <w:bookmarkStart w:id="6" w:name="_Toc17988"/>
      <w:r>
        <w:rPr>
          <w:rFonts w:hint="eastAsia" w:ascii="宋体" w:hAnsi="宋体" w:eastAsia="宋体" w:cs="宋体"/>
          <w:bCs w:val="0"/>
          <w:color w:val="auto"/>
          <w:sz w:val="28"/>
          <w:szCs w:val="28"/>
          <w:highlight w:val="none"/>
        </w:rPr>
        <w:t>第二部分  技术部分</w:t>
      </w:r>
      <w:r>
        <w:rPr>
          <w:rFonts w:hint="eastAsia" w:ascii="宋体" w:hAnsi="宋体" w:eastAsia="宋体" w:cs="宋体"/>
          <w:b/>
          <w:color w:val="auto"/>
          <w:sz w:val="28"/>
          <w:szCs w:val="36"/>
          <w:highlight w:val="none"/>
          <w:lang w:eastAsia="zh-CN"/>
        </w:rPr>
        <w:t>评估标准</w:t>
      </w:r>
      <w:r>
        <w:rPr>
          <w:rFonts w:hint="eastAsia" w:ascii="宋体" w:hAnsi="宋体" w:eastAsia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eastAsia="宋体" w:cs="宋体"/>
          <w:bCs w:val="0"/>
          <w:color w:val="auto"/>
          <w:sz w:val="28"/>
          <w:szCs w:val="28"/>
          <w:highlight w:val="none"/>
          <w:lang w:val="en-US" w:eastAsia="zh-CN"/>
        </w:rPr>
        <w:t>75</w:t>
      </w:r>
      <w:r>
        <w:rPr>
          <w:rFonts w:hint="eastAsia" w:ascii="宋体" w:hAnsi="宋体" w:eastAsia="宋体" w:cs="宋体"/>
          <w:bCs w:val="0"/>
          <w:color w:val="auto"/>
          <w:sz w:val="28"/>
          <w:szCs w:val="28"/>
          <w:highlight w:val="none"/>
        </w:rPr>
        <w:t>分）</w:t>
      </w:r>
      <w:bookmarkEnd w:id="6"/>
    </w:p>
    <w:tbl>
      <w:tblPr>
        <w:tblStyle w:val="12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357"/>
        <w:gridCol w:w="1389"/>
        <w:gridCol w:w="6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Header/>
          <w:jc w:val="center"/>
        </w:trPr>
        <w:tc>
          <w:tcPr>
            <w:tcW w:w="827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分值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5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律师事务所基本情况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A.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根据比选申请人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在服务区域所在地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成立时间情况进行评价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成立时间≥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，得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30年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＞成立时间≥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，得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＞成立时间≥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，得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成立时间＜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10年的，得1分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。</w:t>
            </w:r>
          </w:p>
          <w:p>
            <w:pPr>
              <w:pStyle w:val="1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注：以律师事务所登记事项注明批准日期为准。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B.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服务区域所在地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专业律师数量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情况进行评价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15人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）律师数量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注：本项满分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4分。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须提供律师名单汇总表，表内至少应注明律师姓名、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律师执业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资格证号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，格式自拟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根据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律师事务所登记注册地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情况进行评价：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注册地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在拟服务单位的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行政区域内得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分；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注册地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未在拟服务单位的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行政区域内得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。</w:t>
            </w:r>
          </w:p>
          <w:p>
            <w:pPr>
              <w:pStyle w:val="3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注：以律师事务所登记事项注明的住所为准。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D.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根据比选申请人自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2021年以来的获奖情况进行评价：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获得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市级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及以上政府部门、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司法部门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或各类协会颁发的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荣誉的，每项得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注：本项满分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3分。须提供荣誉证书复印件。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35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拟派律师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团队情况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  <w:t>2分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根据拟派出本项目团队律师数量情况进行评价：拟派出律师数量为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3人的得1分，每增加1人得1分。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注：本项满分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2分。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以比选申请文件格式中“拟派出本项目团队情况”核定的有效律师数量为准。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E.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根据拟派出本项目律师执业年限情况进行评价：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执业年限≥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10年的，每派出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1人得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执业年限≥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5年的，每派出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1人得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执业年限＜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5年的，每派出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1人得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注：本项满分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4分。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以律师执业证书记载为依据。拟派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出本项目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律师中曾在法院、检察院担任法官、检察官的任职的工作年限，可视同律师执业年限，但需提供相关任职证明文件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5分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F.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比选申请人自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2021年以来顾问服务数量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情况进行评价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担任过三明地区行政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机关、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事业单位或国有企业法律顾问的，每项得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注：本项满分5分。须提供法律顾问服务合同。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10分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根据比选申请人自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2019年以来顾问服务类型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情况进行评价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：拟派出律师团队成员中办理过建设工程施工（标的≥1000万）、房屋租赁或劳务派遣类型纠纷案件的，每件得2分。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注：本项满分10分。须提供裁判文书复印件。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服务方案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40分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H.针对比选人单位的性质、业务发展及常见法律问题等，由申请人就法律服务内容、专项法律服务、特色法律服务、服务团队、服务方法、服务措施、服务承诺等提出切实、有效的法律服务方案。该部分由比选人根据申请人各项方案内容进行综合打分。</w:t>
            </w:r>
          </w:p>
        </w:tc>
      </w:tr>
    </w:tbl>
    <w:p>
      <w:pPr>
        <w:pageBreakBefore w:val="0"/>
        <w:widowControl/>
        <w:kinsoku/>
        <w:wordWrap/>
        <w:overflowPunct/>
        <w:topLinePunct w:val="0"/>
        <w:bidi w:val="0"/>
        <w:spacing w:line="480" w:lineRule="exact"/>
        <w:ind w:left="0" w:leftChars="0" w:right="0" w:firstLine="560" w:firstLineChars="200"/>
        <w:jc w:val="left"/>
        <w:rPr>
          <w:rFonts w:hint="eastAsia" w:ascii="宋体" w:hAnsi="宋体" w:eastAsia="宋体" w:cs="宋体"/>
          <w:color w:val="auto"/>
          <w:kern w:val="1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1"/>
          <w:sz w:val="28"/>
          <w:szCs w:val="28"/>
          <w:highlight w:val="none"/>
          <w:lang w:eastAsia="zh-CN"/>
        </w:rPr>
        <w:t>注：以上证明材料均应加盖比选申请人单位公章。</w:t>
      </w:r>
    </w:p>
    <w:p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44EAA2"/>
    <w:multiLevelType w:val="singleLevel"/>
    <w:tmpl w:val="A344EA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BB3D14DE"/>
    <w:multiLevelType w:val="singleLevel"/>
    <w:tmpl w:val="BB3D14DE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BB7CC8E3"/>
    <w:multiLevelType w:val="singleLevel"/>
    <w:tmpl w:val="BB7CC8E3"/>
    <w:lvl w:ilvl="0" w:tentative="0">
      <w:start w:val="3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FDA0ECAF"/>
    <w:multiLevelType w:val="singleLevel"/>
    <w:tmpl w:val="FDA0ECAF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20469E3C"/>
    <w:multiLevelType w:val="singleLevel"/>
    <w:tmpl w:val="20469E3C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40E6A61B"/>
    <w:multiLevelType w:val="singleLevel"/>
    <w:tmpl w:val="40E6A61B"/>
    <w:lvl w:ilvl="0" w:tentative="0">
      <w:start w:val="7"/>
      <w:numFmt w:val="upperLetter"/>
      <w:lvlText w:val="%1."/>
      <w:lvlJc w:val="left"/>
      <w:pPr>
        <w:tabs>
          <w:tab w:val="left" w:pos="312"/>
        </w:tabs>
      </w:pPr>
    </w:lvl>
  </w:abstractNum>
  <w:abstractNum w:abstractNumId="7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AA072A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6"/>
    <w:qFormat/>
    <w:uiPriority w:val="0"/>
    <w:pPr>
      <w:spacing w:line="380" w:lineRule="exact"/>
    </w:pPr>
    <w:rPr>
      <w:sz w:val="24"/>
    </w:rPr>
  </w:style>
  <w:style w:type="paragraph" w:styleId="6">
    <w:name w:val="Body Text First Indent"/>
    <w:basedOn w:val="5"/>
    <w:next w:val="7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7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1">
    <w:name w:val="Title"/>
    <w:basedOn w:val="1"/>
    <w:next w:val="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customStyle="1" w:styleId="1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character" w:customStyle="1" w:styleId="16">
    <w:name w:val="无"/>
    <w:qFormat/>
    <w:uiPriority w:val="0"/>
  </w:style>
  <w:style w:type="paragraph" w:customStyle="1" w:styleId="17">
    <w:name w:val="表格文字"/>
    <w:basedOn w:val="1"/>
    <w:next w:val="5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2024-05-28T08:09:48Z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